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4D0E51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997F63" w:rsidP="004D0E51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Kroužek na šátek</w:t>
      </w:r>
      <w:r w:rsidR="00C12B0D">
        <w:rPr>
          <w:b/>
          <w:bCs/>
          <w:lang w:bidi="cs-CZ"/>
        </w:rPr>
        <w:t xml:space="preserve"> </w:t>
      </w:r>
      <w:r w:rsidR="00E40D8C" w:rsidRPr="00BD46F8">
        <w:rPr>
          <w:bCs/>
          <w:lang w:bidi="cs-CZ"/>
        </w:rPr>
        <w:t xml:space="preserve">(dále jen </w:t>
      </w:r>
      <w:r w:rsidR="00E40D8C">
        <w:rPr>
          <w:bCs/>
          <w:lang w:bidi="cs-CZ"/>
        </w:rPr>
        <w:t>kroužek</w:t>
      </w:r>
      <w:r w:rsidR="00E40D8C" w:rsidRPr="00BD46F8">
        <w:rPr>
          <w:bCs/>
          <w:lang w:bidi="cs-CZ"/>
        </w:rPr>
        <w:t>)</w:t>
      </w:r>
      <w:r w:rsidR="00E40D8C">
        <w:rPr>
          <w:b/>
          <w:bCs/>
          <w:lang w:bidi="cs-CZ"/>
        </w:rPr>
        <w:t xml:space="preserve"> </w:t>
      </w:r>
      <w:r w:rsidR="00E40D8C" w:rsidRPr="00245298">
        <w:rPr>
          <w:lang w:bidi="cs-CZ"/>
        </w:rPr>
        <w:t>je určen</w:t>
      </w:r>
      <w:r w:rsidR="00074570">
        <w:rPr>
          <w:lang w:bidi="cs-CZ"/>
        </w:rPr>
        <w:t>ý</w:t>
      </w:r>
      <w:r w:rsidR="00E40D8C" w:rsidRPr="00245298">
        <w:rPr>
          <w:lang w:bidi="cs-CZ"/>
        </w:rPr>
        <w:t xml:space="preserve"> jako </w:t>
      </w:r>
      <w:r w:rsidR="00E40D8C">
        <w:rPr>
          <w:lang w:bidi="cs-CZ"/>
        </w:rPr>
        <w:t>neoděvní doplněk stejnokroje</w:t>
      </w:r>
      <w:r w:rsidR="00E40D8C" w:rsidRPr="00245298">
        <w:rPr>
          <w:lang w:bidi="cs-CZ"/>
        </w:rPr>
        <w:t xml:space="preserve"> Správ</w:t>
      </w:r>
      <w:r w:rsidR="00E40D8C">
        <w:rPr>
          <w:lang w:bidi="cs-CZ"/>
        </w:rPr>
        <w:t>y</w:t>
      </w:r>
      <w:r w:rsidR="00E40D8C" w:rsidRPr="00245298">
        <w:rPr>
          <w:lang w:bidi="cs-CZ"/>
        </w:rPr>
        <w:t xml:space="preserve"> žele</w:t>
      </w:r>
      <w:r w:rsidR="00E40D8C">
        <w:rPr>
          <w:lang w:bidi="cs-CZ"/>
        </w:rPr>
        <w:t xml:space="preserve">zniční dopravní cesty (dále jen </w:t>
      </w:r>
      <w:r w:rsidR="00E40D8C" w:rsidRPr="00245298">
        <w:rPr>
          <w:lang w:bidi="cs-CZ"/>
        </w:rPr>
        <w:t>SŽDC)</w:t>
      </w:r>
      <w:r w:rsidR="00E40D8C">
        <w:rPr>
          <w:lang w:bidi="cs-CZ"/>
        </w:rPr>
        <w:t>.</w:t>
      </w:r>
    </w:p>
    <w:p w:rsidR="00C12B0D" w:rsidRDefault="00C12B0D" w:rsidP="004D0E51">
      <w:pPr>
        <w:spacing w:after="0" w:line="276" w:lineRule="auto"/>
        <w:jc w:val="both"/>
        <w:rPr>
          <w:b/>
          <w:bCs/>
          <w:lang w:bidi="cs-CZ"/>
        </w:rPr>
      </w:pPr>
    </w:p>
    <w:p w:rsidR="00507FF9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4D0E51">
      <w:pPr>
        <w:spacing w:after="0" w:line="276" w:lineRule="auto"/>
        <w:jc w:val="both"/>
        <w:rPr>
          <w:b/>
          <w:bCs/>
          <w:lang w:bidi="cs-CZ"/>
        </w:rPr>
      </w:pPr>
    </w:p>
    <w:p w:rsidR="00997F63" w:rsidRPr="00997F63" w:rsidRDefault="00997F63" w:rsidP="004D0E51">
      <w:pPr>
        <w:spacing w:after="0" w:line="276" w:lineRule="auto"/>
        <w:jc w:val="both"/>
        <w:rPr>
          <w:bCs/>
          <w:lang w:bidi="cs-CZ"/>
        </w:rPr>
      </w:pPr>
      <w:r w:rsidRPr="00997F63">
        <w:rPr>
          <w:bCs/>
          <w:lang w:bidi="cs-CZ"/>
        </w:rPr>
        <w:t xml:space="preserve">Kroužek na šátek je zhotoven </w:t>
      </w:r>
      <w:r w:rsidR="00F66DD3">
        <w:rPr>
          <w:bCs/>
          <w:lang w:bidi="cs-CZ"/>
        </w:rPr>
        <w:t xml:space="preserve">z oceli </w:t>
      </w:r>
      <w:r w:rsidRPr="00997F63">
        <w:rPr>
          <w:bCs/>
          <w:lang w:bidi="cs-CZ"/>
        </w:rPr>
        <w:t>v barvě lesklý nikl. Logo SŽDC j</w:t>
      </w:r>
      <w:r w:rsidR="00074570">
        <w:rPr>
          <w:bCs/>
          <w:lang w:bidi="cs-CZ"/>
        </w:rPr>
        <w:t>e na kroužku vytvořeno laserem</w:t>
      </w:r>
      <w:r w:rsidR="00F66DD3">
        <w:rPr>
          <w:bCs/>
          <w:lang w:bidi="cs-CZ"/>
        </w:rPr>
        <w:t xml:space="preserve">, směr písma tak, aby bylo čitelné zleva doprava, průchozí část kroužku je o vnějším průměru </w:t>
      </w:r>
      <w:r w:rsidRPr="00997F63">
        <w:rPr>
          <w:bCs/>
          <w:lang w:bidi="cs-CZ"/>
        </w:rPr>
        <w:t>2,2 cm.</w:t>
      </w:r>
    </w:p>
    <w:p w:rsidR="00C12B0D" w:rsidRPr="00C12B0D" w:rsidRDefault="00C12B0D" w:rsidP="004D0E51">
      <w:pPr>
        <w:spacing w:after="0" w:line="276" w:lineRule="auto"/>
        <w:jc w:val="both"/>
        <w:rPr>
          <w:b/>
          <w:bCs/>
          <w:lang w:bidi="cs-CZ"/>
        </w:rPr>
      </w:pPr>
    </w:p>
    <w:p w:rsidR="00997F63" w:rsidRDefault="00997F63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7"/>
      <w:r>
        <w:rPr>
          <w:b/>
          <w:bCs/>
          <w:lang w:bidi="cs-CZ"/>
        </w:rPr>
        <w:t>SPECIFIKACE MATERIÁLU</w:t>
      </w:r>
    </w:p>
    <w:p w:rsidR="00997F63" w:rsidRDefault="00997F63" w:rsidP="004D0E51">
      <w:pPr>
        <w:pStyle w:val="Odstavecseseznamem"/>
        <w:numPr>
          <w:ilvl w:val="0"/>
          <w:numId w:val="22"/>
        </w:numPr>
        <w:spacing w:after="0" w:line="276" w:lineRule="auto"/>
      </w:pPr>
      <w:proofErr w:type="spellStart"/>
      <w:r>
        <w:t>nereznoucí</w:t>
      </w:r>
      <w:proofErr w:type="spellEnd"/>
      <w:r>
        <w:t xml:space="preserve"> ocel tloušťky 1,4 mm</w:t>
      </w:r>
    </w:p>
    <w:p w:rsidR="00997F63" w:rsidRDefault="00997F63" w:rsidP="004D0E51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245298">
        <w:rPr>
          <w:b/>
          <w:bCs/>
          <w:lang w:bidi="cs-CZ"/>
        </w:rPr>
        <w:t>POKYNY PRO SYSTÉM KONTROL, ZKOUŠENÍ A KONEČNOU KONTROLU</w:t>
      </w:r>
      <w:bookmarkEnd w:id="2"/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Hotové výrobky musí odpovídat požadavkům platných technických norem, těmto technickým podmínkám a referenčnímu vzorku. </w:t>
      </w:r>
      <w:r w:rsidR="00997F63">
        <w:rPr>
          <w:lang w:bidi="cs-CZ"/>
        </w:rPr>
        <w:t>Doplněk</w:t>
      </w:r>
      <w:r w:rsidRPr="00245298">
        <w:rPr>
          <w:lang w:bidi="cs-CZ"/>
        </w:rPr>
        <w:t xml:space="preserve">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3" w:name="bookmark8"/>
      <w:r w:rsidRPr="00245298">
        <w:rPr>
          <w:b/>
          <w:bCs/>
          <w:lang w:bidi="cs-CZ"/>
        </w:rPr>
        <w:t>POKYNY PRO ÚDRŽBU A OPRAVY</w:t>
      </w:r>
      <w:bookmarkEnd w:id="3"/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245298" w:rsidRDefault="00245298" w:rsidP="004D0E51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4D0E51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4D0E51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4" w:name="bookmark9"/>
      <w:r w:rsidRPr="00245298">
        <w:rPr>
          <w:b/>
          <w:bCs/>
          <w:lang w:bidi="cs-CZ"/>
        </w:rPr>
        <w:t>BALENÍ, SKLADOVÁNÍ, EKOLOGICKÁ LIKVIDACE</w:t>
      </w:r>
      <w:bookmarkEnd w:id="4"/>
    </w:p>
    <w:p w:rsidR="00245298" w:rsidRPr="00245298" w:rsidRDefault="00245298" w:rsidP="004D0E51">
      <w:pPr>
        <w:spacing w:after="0" w:line="276" w:lineRule="auto"/>
        <w:jc w:val="both"/>
        <w:rPr>
          <w:lang w:bidi="cs-CZ"/>
        </w:rPr>
      </w:pPr>
    </w:p>
    <w:p w:rsidR="005274F6" w:rsidRDefault="00997F63" w:rsidP="004D0E51">
      <w:pPr>
        <w:spacing w:after="0" w:line="276" w:lineRule="auto"/>
      </w:pPr>
      <w:bookmarkStart w:id="5" w:name="bookmark10"/>
      <w:r>
        <w:t xml:space="preserve">Jednotlivé výrobky se balí do PE sáčků a následně do krabice. Krabice je označena štítkem s údajem </w:t>
      </w:r>
      <w:r w:rsidR="00AA7008">
        <w:br/>
      </w:r>
      <w:bookmarkStart w:id="6" w:name="_GoBack"/>
      <w:bookmarkEnd w:id="6"/>
      <w:r>
        <w:t xml:space="preserve">o počtu kusů. Krabice je uzavřena a přelepena páskou. </w:t>
      </w:r>
    </w:p>
    <w:p w:rsidR="00997F63" w:rsidRDefault="00997F63" w:rsidP="004D0E51">
      <w:pPr>
        <w:spacing w:after="0" w:line="276" w:lineRule="auto"/>
      </w:pPr>
      <w:r>
        <w:t>Značení: na tomto výrobku není umístěná etiketa.</w:t>
      </w:r>
    </w:p>
    <w:p w:rsidR="004D0E51" w:rsidRDefault="004D0E51" w:rsidP="004D0E51">
      <w:pPr>
        <w:spacing w:after="0" w:line="276" w:lineRule="auto"/>
      </w:pPr>
    </w:p>
    <w:p w:rsidR="00D53B72" w:rsidRPr="005274F6" w:rsidRDefault="00245298" w:rsidP="004D0E51">
      <w:pPr>
        <w:numPr>
          <w:ilvl w:val="0"/>
          <w:numId w:val="1"/>
        </w:numPr>
        <w:spacing w:after="0" w:line="276" w:lineRule="auto"/>
        <w:rPr>
          <w:sz w:val="18"/>
          <w:szCs w:val="18"/>
        </w:rPr>
      </w:pPr>
      <w:r w:rsidRPr="005274F6">
        <w:rPr>
          <w:b/>
          <w:bCs/>
          <w:lang w:bidi="cs-CZ"/>
        </w:rPr>
        <w:t>TECHNICKÝ NÁKRES</w:t>
      </w:r>
      <w:bookmarkEnd w:id="5"/>
    </w:p>
    <w:p w:rsidR="005274F6" w:rsidRDefault="005274F6" w:rsidP="004D0E51">
      <w:pPr>
        <w:spacing w:after="0" w:line="276" w:lineRule="auto"/>
        <w:rPr>
          <w:b/>
          <w:bCs/>
          <w:lang w:bidi="cs-CZ"/>
        </w:rPr>
      </w:pPr>
    </w:p>
    <w:p w:rsidR="005274F6" w:rsidRPr="005274F6" w:rsidRDefault="005274F6" w:rsidP="004D0E51">
      <w:pPr>
        <w:spacing w:after="0" w:line="276" w:lineRule="auto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468DC9E7">
            <wp:extent cx="1152525" cy="164138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00" cy="1655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noProof/>
          <w:sz w:val="18"/>
          <w:szCs w:val="18"/>
          <w:lang w:eastAsia="cs-CZ"/>
        </w:rPr>
        <w:drawing>
          <wp:inline distT="0" distB="0" distL="0" distR="0" wp14:anchorId="0AF9C691">
            <wp:extent cx="1950085" cy="1497347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371" cy="15006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274F6" w:rsidRPr="005274F6" w:rsidSect="005274F6">
      <w:headerReference w:type="default" r:id="rId9"/>
      <w:footerReference w:type="default" r:id="rId10"/>
      <w:pgSz w:w="11900" w:h="16840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A62" w:rsidRDefault="00575A62" w:rsidP="00245298">
      <w:pPr>
        <w:spacing w:after="0" w:line="240" w:lineRule="auto"/>
      </w:pPr>
      <w:r>
        <w:separator/>
      </w:r>
    </w:p>
  </w:endnote>
  <w:endnote w:type="continuationSeparator" w:id="0">
    <w:p w:rsidR="00575A62" w:rsidRDefault="00575A62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0B7" w:rsidRDefault="004020B7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A62" w:rsidRDefault="00575A62" w:rsidP="00245298">
      <w:pPr>
        <w:spacing w:after="0" w:line="240" w:lineRule="auto"/>
      </w:pPr>
      <w:r>
        <w:separator/>
      </w:r>
    </w:p>
  </w:footnote>
  <w:footnote w:type="continuationSeparator" w:id="0">
    <w:p w:rsidR="00575A62" w:rsidRDefault="00575A62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4F6" w:rsidRPr="005274F6" w:rsidRDefault="005274F6" w:rsidP="005274F6">
    <w:pPr>
      <w:pStyle w:val="Zhlav"/>
      <w:jc w:val="center"/>
      <w:rPr>
        <w:b/>
      </w:rPr>
    </w:pPr>
    <w:r w:rsidRPr="005274F6">
      <w:rPr>
        <w:b/>
      </w:rPr>
      <w:t>TECHNICKÁ SPECIFIKACE – KROUŽEK NA ŠÁTEK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2048FF"/>
    <w:multiLevelType w:val="hybridMultilevel"/>
    <w:tmpl w:val="29DEAABC"/>
    <w:lvl w:ilvl="0" w:tplc="3E4660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77CFA"/>
    <w:multiLevelType w:val="hybridMultilevel"/>
    <w:tmpl w:val="B338E692"/>
    <w:lvl w:ilvl="0" w:tplc="D5407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20545"/>
    <w:multiLevelType w:val="hybridMultilevel"/>
    <w:tmpl w:val="D21AB0D4"/>
    <w:lvl w:ilvl="0" w:tplc="262006B4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12C26"/>
    <w:multiLevelType w:val="multilevel"/>
    <w:tmpl w:val="D37007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2"/>
  </w:num>
  <w:num w:numId="8">
    <w:abstractNumId w:val="17"/>
  </w:num>
  <w:num w:numId="9">
    <w:abstractNumId w:val="13"/>
  </w:num>
  <w:num w:numId="10">
    <w:abstractNumId w:val="21"/>
  </w:num>
  <w:num w:numId="11">
    <w:abstractNumId w:val="12"/>
  </w:num>
  <w:num w:numId="12">
    <w:abstractNumId w:val="3"/>
  </w:num>
  <w:num w:numId="13">
    <w:abstractNumId w:val="16"/>
  </w:num>
  <w:num w:numId="14">
    <w:abstractNumId w:val="19"/>
  </w:num>
  <w:num w:numId="15">
    <w:abstractNumId w:val="15"/>
  </w:num>
  <w:num w:numId="16">
    <w:abstractNumId w:val="20"/>
  </w:num>
  <w:num w:numId="17">
    <w:abstractNumId w:val="1"/>
  </w:num>
  <w:num w:numId="18">
    <w:abstractNumId w:val="18"/>
  </w:num>
  <w:num w:numId="19">
    <w:abstractNumId w:val="11"/>
  </w:num>
  <w:num w:numId="20">
    <w:abstractNumId w:val="14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56C00"/>
    <w:rsid w:val="00074570"/>
    <w:rsid w:val="002125AB"/>
    <w:rsid w:val="00245298"/>
    <w:rsid w:val="003452FF"/>
    <w:rsid w:val="004020B7"/>
    <w:rsid w:val="00463422"/>
    <w:rsid w:val="00474EC9"/>
    <w:rsid w:val="004D0E51"/>
    <w:rsid w:val="00507FF9"/>
    <w:rsid w:val="00510C69"/>
    <w:rsid w:val="00515D69"/>
    <w:rsid w:val="005274F6"/>
    <w:rsid w:val="0054799D"/>
    <w:rsid w:val="00574C34"/>
    <w:rsid w:val="00575A62"/>
    <w:rsid w:val="006B5424"/>
    <w:rsid w:val="00831396"/>
    <w:rsid w:val="008861BC"/>
    <w:rsid w:val="008A14B9"/>
    <w:rsid w:val="008C2C34"/>
    <w:rsid w:val="0092700C"/>
    <w:rsid w:val="00937ED8"/>
    <w:rsid w:val="00993906"/>
    <w:rsid w:val="00997F63"/>
    <w:rsid w:val="009E2010"/>
    <w:rsid w:val="00A64EA5"/>
    <w:rsid w:val="00A7223F"/>
    <w:rsid w:val="00AA7008"/>
    <w:rsid w:val="00AC6A5F"/>
    <w:rsid w:val="00AE3EE9"/>
    <w:rsid w:val="00C12B0D"/>
    <w:rsid w:val="00C42385"/>
    <w:rsid w:val="00D53B72"/>
    <w:rsid w:val="00DB38F0"/>
    <w:rsid w:val="00DC2C95"/>
    <w:rsid w:val="00DD464F"/>
    <w:rsid w:val="00DE783E"/>
    <w:rsid w:val="00DF6557"/>
    <w:rsid w:val="00E06A51"/>
    <w:rsid w:val="00E40D8C"/>
    <w:rsid w:val="00E54134"/>
    <w:rsid w:val="00E77AFD"/>
    <w:rsid w:val="00F66DD3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2019-07-23T07:20:00Z</dcterms:modified>
</cp:coreProperties>
</file>